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51" w:rsidRPr="00BD2DE3" w:rsidRDefault="00813E51" w:rsidP="00813E51">
      <w:pPr>
        <w:shd w:val="clear" w:color="auto" w:fill="FFFFFF"/>
        <w:spacing w:before="150" w:after="150" w:line="330" w:lineRule="atLeast"/>
        <w:jc w:val="both"/>
        <w:outlineLvl w:val="3"/>
        <w:rPr>
          <w:b/>
          <w:color w:val="333333"/>
          <w:sz w:val="28"/>
          <w:szCs w:val="28"/>
        </w:rPr>
      </w:pPr>
      <w:r w:rsidRPr="00373F8A">
        <w:rPr>
          <w:b/>
          <w:color w:val="333333"/>
          <w:sz w:val="28"/>
          <w:szCs w:val="28"/>
        </w:rPr>
        <w:t xml:space="preserve">1. </w:t>
      </w:r>
      <w:bookmarkStart w:id="0" w:name="_GoBack"/>
      <w:r w:rsidRPr="00373F8A">
        <w:rPr>
          <w:b/>
          <w:color w:val="333333"/>
          <w:sz w:val="28"/>
          <w:szCs w:val="28"/>
        </w:rPr>
        <w:t>Cho phép thành lập trường mầm non, trường mẫu giáo, nhà trẻ.</w:t>
      </w:r>
      <w:bookmarkEnd w:id="0"/>
    </w:p>
    <w:p w:rsidR="00813E51" w:rsidRPr="0039562D" w:rsidRDefault="00813E51" w:rsidP="00813E51">
      <w:pPr>
        <w:spacing w:before="60" w:after="60"/>
        <w:ind w:firstLine="21"/>
        <w:jc w:val="center"/>
        <w:rPr>
          <w:b/>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813E51" w:rsidTr="00A90C44">
        <w:tc>
          <w:tcPr>
            <w:tcW w:w="1418" w:type="dxa"/>
            <w:vAlign w:val="center"/>
          </w:tcPr>
          <w:p w:rsidR="00813E51" w:rsidRPr="00E965F0" w:rsidRDefault="00813E51" w:rsidP="00A90C44">
            <w:pPr>
              <w:spacing w:before="60" w:after="60"/>
              <w:jc w:val="center"/>
              <w:rPr>
                <w:b/>
                <w:sz w:val="28"/>
                <w:szCs w:val="28"/>
              </w:rPr>
            </w:pPr>
            <w:r w:rsidRPr="00E965F0">
              <w:rPr>
                <w:b/>
                <w:sz w:val="28"/>
                <w:szCs w:val="28"/>
              </w:rPr>
              <w:t>Cách thức</w:t>
            </w:r>
          </w:p>
        </w:tc>
        <w:tc>
          <w:tcPr>
            <w:tcW w:w="6237" w:type="dxa"/>
            <w:vAlign w:val="center"/>
          </w:tcPr>
          <w:p w:rsidR="00813E51" w:rsidRPr="00E965F0" w:rsidRDefault="00813E51" w:rsidP="00A90C44">
            <w:pPr>
              <w:spacing w:before="60" w:after="60"/>
              <w:jc w:val="center"/>
              <w:rPr>
                <w:b/>
                <w:sz w:val="28"/>
                <w:szCs w:val="28"/>
              </w:rPr>
            </w:pPr>
            <w:r w:rsidRPr="00E965F0">
              <w:rPr>
                <w:b/>
                <w:sz w:val="28"/>
                <w:szCs w:val="28"/>
              </w:rPr>
              <w:t>Quy trình thực hiện</w:t>
            </w:r>
          </w:p>
        </w:tc>
        <w:tc>
          <w:tcPr>
            <w:tcW w:w="1418" w:type="dxa"/>
            <w:vAlign w:val="center"/>
          </w:tcPr>
          <w:p w:rsidR="00813E51" w:rsidRPr="00E965F0" w:rsidRDefault="00813E51" w:rsidP="00A90C44">
            <w:pPr>
              <w:spacing w:before="60" w:after="60"/>
              <w:jc w:val="center"/>
              <w:rPr>
                <w:b/>
                <w:sz w:val="28"/>
                <w:szCs w:val="28"/>
              </w:rPr>
            </w:pPr>
            <w:r w:rsidRPr="00E965F0">
              <w:rPr>
                <w:b/>
                <w:sz w:val="28"/>
                <w:szCs w:val="28"/>
              </w:rPr>
              <w:t>Thời gian thực hiện</w:t>
            </w:r>
          </w:p>
        </w:tc>
        <w:tc>
          <w:tcPr>
            <w:tcW w:w="1701" w:type="dxa"/>
            <w:vAlign w:val="center"/>
          </w:tcPr>
          <w:p w:rsidR="00813E51" w:rsidRPr="00E965F0" w:rsidRDefault="00813E51" w:rsidP="00A90C44">
            <w:pPr>
              <w:spacing w:before="60" w:after="60"/>
              <w:jc w:val="center"/>
              <w:rPr>
                <w:b/>
                <w:sz w:val="28"/>
                <w:szCs w:val="28"/>
              </w:rPr>
            </w:pPr>
            <w:r w:rsidRPr="00E965F0">
              <w:rPr>
                <w:b/>
                <w:sz w:val="28"/>
                <w:szCs w:val="28"/>
              </w:rPr>
              <w:t>Sản phẩm</w:t>
            </w:r>
          </w:p>
        </w:tc>
      </w:tr>
      <w:tr w:rsidR="00813E51" w:rsidTr="00A90C44">
        <w:tc>
          <w:tcPr>
            <w:tcW w:w="1418" w:type="dxa"/>
            <w:vAlign w:val="center"/>
          </w:tcPr>
          <w:p w:rsidR="00813E51" w:rsidRPr="00E965F0" w:rsidRDefault="00813E51" w:rsidP="00A90C44">
            <w:pPr>
              <w:spacing w:before="60" w:after="60"/>
              <w:jc w:val="center"/>
              <w:rPr>
                <w:sz w:val="28"/>
                <w:szCs w:val="28"/>
              </w:rPr>
            </w:pPr>
            <w:r w:rsidRPr="00E965F0">
              <w:rPr>
                <w:sz w:val="28"/>
                <w:szCs w:val="28"/>
              </w:rPr>
              <w:t>1. Trình tự</w:t>
            </w:r>
          </w:p>
          <w:p w:rsidR="00813E51" w:rsidRPr="00E965F0" w:rsidRDefault="00813E51" w:rsidP="00A90C44">
            <w:pPr>
              <w:spacing w:before="60" w:after="60"/>
              <w:jc w:val="center"/>
              <w:rPr>
                <w:sz w:val="28"/>
                <w:szCs w:val="28"/>
              </w:rPr>
            </w:pPr>
            <w:r w:rsidRPr="00E965F0">
              <w:rPr>
                <w:sz w:val="28"/>
                <w:szCs w:val="28"/>
              </w:rPr>
              <w:t>thực hiện</w:t>
            </w:r>
          </w:p>
        </w:tc>
        <w:tc>
          <w:tcPr>
            <w:tcW w:w="6237" w:type="dxa"/>
            <w:vAlign w:val="center"/>
          </w:tcPr>
          <w:p w:rsidR="00813E51" w:rsidRPr="00745A4A" w:rsidRDefault="00813E51" w:rsidP="00A90C44">
            <w:pPr>
              <w:spacing w:before="60" w:after="60"/>
              <w:jc w:val="both"/>
              <w:rPr>
                <w:color w:val="333333"/>
                <w:sz w:val="28"/>
                <w:szCs w:val="28"/>
                <w:shd w:val="clear" w:color="auto" w:fill="FFFFFF"/>
              </w:rPr>
            </w:pPr>
            <w:r w:rsidRPr="00E965F0">
              <w:rPr>
                <w:sz w:val="28"/>
                <w:szCs w:val="28"/>
              </w:rPr>
              <w:t xml:space="preserve">- Bước 1: </w:t>
            </w:r>
            <w:r w:rsidRPr="00745A4A">
              <w:rPr>
                <w:color w:val="333333"/>
                <w:sz w:val="28"/>
                <w:szCs w:val="28"/>
                <w:shd w:val="clear" w:color="auto" w:fill="FFFFFF"/>
              </w:rPr>
              <w:t xml:space="preserve">Tổ chức hoặc cá nhân lập hồ sơ theo quy định nộp hồ sơ tại Bộ phận Tiếp nhận và </w:t>
            </w:r>
            <w:r>
              <w:rPr>
                <w:color w:val="333333"/>
                <w:sz w:val="28"/>
                <w:szCs w:val="28"/>
                <w:shd w:val="clear" w:color="auto" w:fill="FFFFFF"/>
              </w:rPr>
              <w:t>trả kết quả của UBND huyện.</w:t>
            </w:r>
          </w:p>
          <w:p w:rsidR="00813E51" w:rsidRDefault="00813E51" w:rsidP="00A90C44">
            <w:pPr>
              <w:spacing w:before="60" w:after="60"/>
              <w:jc w:val="both"/>
              <w:rPr>
                <w:rFonts w:ascii="Arial" w:hAnsi="Arial" w:cs="Arial"/>
                <w:color w:val="333333"/>
                <w:sz w:val="21"/>
                <w:szCs w:val="21"/>
                <w:shd w:val="clear" w:color="auto" w:fill="FFFFFF"/>
              </w:rPr>
            </w:pPr>
            <w:r w:rsidRPr="00E965F0">
              <w:rPr>
                <w:sz w:val="28"/>
                <w:szCs w:val="28"/>
              </w:rPr>
              <w:t xml:space="preserve">- Bước 2: </w:t>
            </w:r>
            <w:r w:rsidRPr="00745A4A">
              <w:rPr>
                <w:color w:val="333333"/>
                <w:sz w:val="28"/>
                <w:szCs w:val="28"/>
                <w:shd w:val="clear" w:color="auto" w:fill="FFFFFF"/>
              </w:rPr>
              <w:t>Trong thời hạn 20 ngày làm việc, kể từ ngày nhận đủ hồ sơ hợp lệ, Ủy ban nhân dân các huyện, thành phố có trách nhiệm chỉ đạo phòng giáo dục và đào tạo và các phòng chuyên môn liên quan có ý kiến thẩm định hồ sơ và thẩm định thực tế các điều kiện thành lập nhà trường, nhà trẻ theo những</w:t>
            </w:r>
            <w:r>
              <w:rPr>
                <w:rFonts w:ascii="Arial" w:hAnsi="Arial" w:cs="Arial"/>
                <w:color w:val="333333"/>
                <w:sz w:val="21"/>
                <w:szCs w:val="21"/>
                <w:shd w:val="clear" w:color="auto" w:fill="FFFFFF"/>
              </w:rPr>
              <w:t xml:space="preserve"> nội </w:t>
            </w:r>
            <w:r w:rsidRPr="00745A4A">
              <w:rPr>
                <w:color w:val="333333"/>
                <w:sz w:val="28"/>
                <w:szCs w:val="28"/>
                <w:shd w:val="clear" w:color="auto" w:fill="FFFFFF"/>
              </w:rPr>
              <w:t>dung và điều kiện quy định</w:t>
            </w:r>
            <w:r>
              <w:rPr>
                <w:rFonts w:ascii="Arial" w:hAnsi="Arial" w:cs="Arial"/>
                <w:color w:val="333333"/>
                <w:sz w:val="21"/>
                <w:szCs w:val="21"/>
                <w:shd w:val="clear" w:color="auto" w:fill="FFFFFF"/>
              </w:rPr>
              <w:t>;</w:t>
            </w:r>
          </w:p>
          <w:p w:rsidR="00813E51" w:rsidRPr="00E965F0" w:rsidRDefault="00813E51" w:rsidP="00A90C44">
            <w:pPr>
              <w:spacing w:before="60" w:after="60"/>
              <w:jc w:val="both"/>
              <w:rPr>
                <w:sz w:val="28"/>
                <w:szCs w:val="28"/>
              </w:rPr>
            </w:pPr>
            <w:r w:rsidRPr="00E965F0">
              <w:rPr>
                <w:sz w:val="28"/>
                <w:szCs w:val="28"/>
              </w:rPr>
              <w:t xml:space="preserve">- Bước 3: </w:t>
            </w:r>
            <w:r w:rsidRPr="009851A1">
              <w:rPr>
                <w:color w:val="333333"/>
                <w:sz w:val="28"/>
                <w:szCs w:val="28"/>
                <w:shd w:val="clear" w:color="auto" w:fill="FFFFFF"/>
              </w:rPr>
              <w:t>Trong thời hạn 15 ngày làm việc, kể từ ngày nhận được ý kiến thẩm định bằng văn bản của phòng giáo dục và đào tạo và các phòng chuyên môn có liên quan, nếu đáp ứng đầy đủ các điều kiện thì Chủ tịch UBND các huyện, thành phố ra quyết định cho phép thành lập đối với nhà trường, nhà trẻ dân lập, tư thục. Nếu không đáp ứng đủ điều kiện thì Chủ tịch UBND các huyện, thành phố có văn bản trả lời và nêu rõ lý do.</w:t>
            </w:r>
          </w:p>
          <w:p w:rsidR="00813E51" w:rsidRPr="00E965F0" w:rsidRDefault="00813E51" w:rsidP="00A90C44">
            <w:pPr>
              <w:spacing w:before="60" w:after="60"/>
              <w:jc w:val="both"/>
              <w:rPr>
                <w:sz w:val="28"/>
                <w:szCs w:val="28"/>
              </w:rPr>
            </w:pPr>
          </w:p>
        </w:tc>
        <w:tc>
          <w:tcPr>
            <w:tcW w:w="1418" w:type="dxa"/>
            <w:vAlign w:val="center"/>
          </w:tcPr>
          <w:p w:rsidR="00813E51" w:rsidRPr="00E965F0" w:rsidRDefault="00813E51" w:rsidP="00A90C44">
            <w:pPr>
              <w:spacing w:before="60" w:after="60"/>
              <w:jc w:val="center"/>
              <w:rPr>
                <w:sz w:val="28"/>
                <w:szCs w:val="28"/>
              </w:rPr>
            </w:pPr>
            <w:r w:rsidRPr="00E965F0">
              <w:rPr>
                <w:sz w:val="28"/>
                <w:szCs w:val="28"/>
              </w:rPr>
              <w:t>- Bộ phận tiếp nhận và trả kết quả.</w:t>
            </w:r>
          </w:p>
          <w:p w:rsidR="00813E51" w:rsidRPr="00E965F0" w:rsidRDefault="00813E51" w:rsidP="00A90C44">
            <w:pPr>
              <w:spacing w:before="60" w:after="60"/>
              <w:jc w:val="center"/>
              <w:rPr>
                <w:sz w:val="28"/>
                <w:szCs w:val="28"/>
              </w:rPr>
            </w:pPr>
          </w:p>
          <w:p w:rsidR="00813E51" w:rsidRPr="00E965F0" w:rsidRDefault="00813E51"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813E51" w:rsidRPr="007F52AF" w:rsidRDefault="00813E51" w:rsidP="00A90C44">
            <w:pPr>
              <w:spacing w:before="60" w:after="60"/>
              <w:jc w:val="center"/>
              <w:rPr>
                <w:b/>
                <w:i/>
                <w:sz w:val="28"/>
                <w:szCs w:val="28"/>
              </w:rPr>
            </w:pPr>
          </w:p>
        </w:tc>
      </w:tr>
      <w:tr w:rsidR="00813E51" w:rsidTr="00A90C44">
        <w:tc>
          <w:tcPr>
            <w:tcW w:w="1418" w:type="dxa"/>
            <w:vAlign w:val="center"/>
          </w:tcPr>
          <w:p w:rsidR="00813E51" w:rsidRPr="00E965F0" w:rsidRDefault="00813E51" w:rsidP="00A90C44">
            <w:pPr>
              <w:spacing w:before="60" w:after="60"/>
              <w:jc w:val="center"/>
              <w:rPr>
                <w:sz w:val="28"/>
                <w:szCs w:val="28"/>
              </w:rPr>
            </w:pPr>
            <w:r w:rsidRPr="00E965F0">
              <w:rPr>
                <w:sz w:val="28"/>
                <w:szCs w:val="28"/>
              </w:rPr>
              <w:t>2. Cách thức thực hiện</w:t>
            </w:r>
          </w:p>
        </w:tc>
        <w:tc>
          <w:tcPr>
            <w:tcW w:w="6237" w:type="dxa"/>
            <w:vAlign w:val="center"/>
          </w:tcPr>
          <w:p w:rsidR="00813E51" w:rsidRDefault="00813E51"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813E51" w:rsidRPr="00E965F0" w:rsidRDefault="00813E51" w:rsidP="00A90C44">
            <w:pPr>
              <w:spacing w:before="60" w:after="60"/>
              <w:jc w:val="both"/>
              <w:rPr>
                <w:sz w:val="28"/>
                <w:szCs w:val="28"/>
              </w:rPr>
            </w:pPr>
          </w:p>
        </w:tc>
        <w:tc>
          <w:tcPr>
            <w:tcW w:w="1418" w:type="dxa"/>
            <w:vAlign w:val="center"/>
          </w:tcPr>
          <w:p w:rsidR="00813E51" w:rsidRPr="00E965F0" w:rsidRDefault="00813E51" w:rsidP="00A90C44">
            <w:pPr>
              <w:spacing w:before="60" w:after="60"/>
              <w:jc w:val="center"/>
              <w:rPr>
                <w:sz w:val="28"/>
                <w:szCs w:val="28"/>
              </w:rPr>
            </w:pPr>
            <w:r w:rsidRPr="00E965F0">
              <w:rPr>
                <w:sz w:val="28"/>
                <w:szCs w:val="28"/>
              </w:rPr>
              <w:t>Tổ chức</w:t>
            </w:r>
          </w:p>
          <w:p w:rsidR="00813E51" w:rsidRPr="00E965F0" w:rsidRDefault="00813E51" w:rsidP="00A90C44">
            <w:pPr>
              <w:spacing w:before="60" w:after="60"/>
              <w:jc w:val="center"/>
              <w:rPr>
                <w:sz w:val="28"/>
                <w:szCs w:val="28"/>
              </w:rPr>
            </w:pPr>
            <w:r w:rsidRPr="00E965F0">
              <w:rPr>
                <w:sz w:val="28"/>
                <w:szCs w:val="28"/>
              </w:rPr>
              <w:t>hoặc công dân</w:t>
            </w:r>
          </w:p>
        </w:tc>
        <w:tc>
          <w:tcPr>
            <w:tcW w:w="1701" w:type="dxa"/>
            <w:vAlign w:val="center"/>
          </w:tcPr>
          <w:p w:rsidR="00813E51" w:rsidRPr="00E965F0" w:rsidRDefault="00813E51" w:rsidP="00A90C44">
            <w:pPr>
              <w:spacing w:before="60" w:after="60"/>
              <w:jc w:val="center"/>
              <w:rPr>
                <w:b/>
                <w:sz w:val="28"/>
                <w:szCs w:val="28"/>
              </w:rPr>
            </w:pPr>
          </w:p>
        </w:tc>
      </w:tr>
      <w:tr w:rsidR="00813E51" w:rsidTr="00A90C44">
        <w:tc>
          <w:tcPr>
            <w:tcW w:w="1418" w:type="dxa"/>
            <w:vAlign w:val="center"/>
          </w:tcPr>
          <w:p w:rsidR="00813E51" w:rsidRPr="00E965F0" w:rsidRDefault="00813E51" w:rsidP="00A90C44">
            <w:pPr>
              <w:spacing w:before="60" w:after="60"/>
              <w:jc w:val="center"/>
              <w:rPr>
                <w:sz w:val="28"/>
                <w:szCs w:val="28"/>
              </w:rPr>
            </w:pPr>
            <w:r w:rsidRPr="00E965F0">
              <w:rPr>
                <w:sz w:val="28"/>
                <w:szCs w:val="28"/>
              </w:rPr>
              <w:t>3. Thành phần, số lượng hồ sơ</w:t>
            </w:r>
          </w:p>
        </w:tc>
        <w:tc>
          <w:tcPr>
            <w:tcW w:w="6237" w:type="dxa"/>
            <w:vAlign w:val="center"/>
          </w:tcPr>
          <w:p w:rsidR="00813E51" w:rsidRPr="00E965F0" w:rsidRDefault="00813E51" w:rsidP="00A90C44">
            <w:pPr>
              <w:spacing w:before="60" w:after="60"/>
              <w:rPr>
                <w:sz w:val="28"/>
                <w:szCs w:val="28"/>
              </w:rPr>
            </w:pPr>
            <w:r w:rsidRPr="00E965F0">
              <w:rPr>
                <w:color w:val="333333"/>
                <w:sz w:val="28"/>
                <w:szCs w:val="28"/>
                <w:shd w:val="clear" w:color="auto" w:fill="FFFFFF"/>
              </w:rPr>
              <w:t>a</w:t>
            </w:r>
            <w:r w:rsidRPr="00E965F0">
              <w:rPr>
                <w:sz w:val="28"/>
                <w:szCs w:val="28"/>
              </w:rPr>
              <w:t>) Thành phần hồ sơ:</w:t>
            </w:r>
            <w:r w:rsidRPr="00E965F0">
              <w:rPr>
                <w:sz w:val="28"/>
                <w:szCs w:val="28"/>
              </w:rPr>
              <w:br/>
              <w:t xml:space="preserve">- </w:t>
            </w:r>
            <w:r w:rsidRPr="009851A1">
              <w:rPr>
                <w:color w:val="333333"/>
                <w:sz w:val="28"/>
                <w:szCs w:val="28"/>
                <w:shd w:val="clear" w:color="auto" w:fill="FFFFFF"/>
              </w:rPr>
              <w:t>Tờ trình đề nghị thành lập nhà trường, nhà trẻ của cơ quan chủ quản đối với nhà trường, nhà trẻ công lập, tổ chức hoặc cá nhân đối với nhà trường, nhà trẻ tư thục, dân lập cần nêu rõ sự cần thiết thành lập; tên nhà trường, nhà trẻ; địa điểm dự kiến làm trụ sở tổ chức thực hiện việc nuôi dưỡng, chăm sóc, giáo dục trẻ của nhà trường, nhà trẻ;</w:t>
            </w:r>
            <w:r w:rsidRPr="009851A1">
              <w:rPr>
                <w:color w:val="333333"/>
                <w:sz w:val="28"/>
                <w:szCs w:val="28"/>
              </w:rPr>
              <w:br/>
            </w:r>
            <w:r w:rsidRPr="009851A1">
              <w:rPr>
                <w:color w:val="333333"/>
                <w:sz w:val="28"/>
                <w:szCs w:val="28"/>
                <w:shd w:val="clear" w:color="auto" w:fill="FFFFFF"/>
              </w:rPr>
              <w:t xml:space="preserve">- Đề án thành lập nhà trường, nhà trẻ: xác định sự </w:t>
            </w:r>
            <w:r w:rsidRPr="009851A1">
              <w:rPr>
                <w:color w:val="333333"/>
                <w:sz w:val="28"/>
                <w:szCs w:val="28"/>
                <w:shd w:val="clear" w:color="auto" w:fill="FFFFFF"/>
              </w:rPr>
              <w:lastRenderedPageBreak/>
              <w:t>phù hợp với quy hoạch phát triển kinh tế - xã hội và quy hoạch mạng lưới cơ sở giáo dục; mục tiêu, nhiệm vụ, chương trình và nội dung giáo dục; đất đai, cơ sở vật chất, thiết bị; tổ chức bộ máy hoạt động đội ngũ giáo viên và cán bộ quản lý; các nguồn lực và tài chính; quy hoạch, kế hoạch và các giải pháp xây dựng, phát triển nhà trường, nhà trẻ trong từng giai đoạn.Trong đề án cần nêu rõ dự kiến tổng số vốn để thực hiện các kế hoạch và bảo đảm hoạt động nuôi dưỡng, chăm sóc, giáo dục trẻ em trong 3 năm đầu thành lập và các năm tiếp theo, có thuyết minh rõ về tính khả thi và hợp pháp của các nguồn vốn đầu tư xây dựng và phát triển nhà trường, nhà trẻ trong từng giai đoạn;</w:t>
            </w:r>
            <w:r w:rsidRPr="009851A1">
              <w:rPr>
                <w:color w:val="333333"/>
                <w:sz w:val="28"/>
                <w:szCs w:val="28"/>
              </w:rPr>
              <w:br/>
            </w:r>
            <w:r w:rsidRPr="009851A1">
              <w:rPr>
                <w:color w:val="333333"/>
                <w:sz w:val="28"/>
                <w:szCs w:val="28"/>
                <w:shd w:val="clear" w:color="auto" w:fill="FFFFFF"/>
              </w:rPr>
              <w:t>- Có văn bản về chủ trương giao đất hoặc hợp đồng nguyên tắc cho thuê đất, thuê nhà làm trụ sở xây dựng nhà trường, nhà trẻ với thời hạn dự kiến thuê tối thiểu 5 (năm) năm;</w:t>
            </w:r>
            <w:r w:rsidRPr="009851A1">
              <w:rPr>
                <w:color w:val="333333"/>
                <w:sz w:val="28"/>
                <w:szCs w:val="28"/>
              </w:rPr>
              <w:br/>
            </w:r>
            <w:r w:rsidRPr="009851A1">
              <w:rPr>
                <w:color w:val="333333"/>
                <w:sz w:val="28"/>
                <w:szCs w:val="28"/>
                <w:shd w:val="clear" w:color="auto" w:fill="FFFFFF"/>
              </w:rPr>
              <w:t>-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 nuôi dưỡng, chăm sóc, giáo dục trẻ;</w:t>
            </w:r>
            <w:r w:rsidRPr="009851A1">
              <w:rPr>
                <w:sz w:val="28"/>
                <w:szCs w:val="28"/>
              </w:rPr>
              <w:t>;</w:t>
            </w:r>
            <w:r w:rsidRPr="009851A1">
              <w:rPr>
                <w:sz w:val="28"/>
                <w:szCs w:val="28"/>
              </w:rPr>
              <w:br/>
            </w:r>
            <w:r w:rsidRPr="00E965F0">
              <w:rPr>
                <w:sz w:val="28"/>
                <w:szCs w:val="28"/>
              </w:rPr>
              <w:t>- Bản kê khai tài sản do các sáng lập viên tự nguyện đóng góp (nếu có).</w:t>
            </w:r>
          </w:p>
          <w:p w:rsidR="00813E51" w:rsidRDefault="00813E51" w:rsidP="00A90C44">
            <w:pPr>
              <w:spacing w:before="60" w:after="60"/>
              <w:rPr>
                <w:sz w:val="28"/>
                <w:szCs w:val="28"/>
              </w:rPr>
            </w:pPr>
            <w:r w:rsidRPr="00E965F0">
              <w:rPr>
                <w:sz w:val="28"/>
                <w:szCs w:val="28"/>
              </w:rPr>
              <w:t>b) Số lượng hồ sơ: 01 bộ</w:t>
            </w:r>
          </w:p>
          <w:p w:rsidR="00813E51" w:rsidRPr="00E965F0" w:rsidRDefault="00813E51" w:rsidP="00A90C44">
            <w:pPr>
              <w:spacing w:before="60" w:after="60"/>
              <w:rPr>
                <w:sz w:val="28"/>
                <w:szCs w:val="28"/>
              </w:rPr>
            </w:pPr>
          </w:p>
        </w:tc>
        <w:tc>
          <w:tcPr>
            <w:tcW w:w="1418" w:type="dxa"/>
            <w:vAlign w:val="center"/>
          </w:tcPr>
          <w:p w:rsidR="00813E51" w:rsidRPr="00E965F0" w:rsidRDefault="00813E51" w:rsidP="00A90C44">
            <w:pPr>
              <w:spacing w:before="60" w:after="60"/>
              <w:jc w:val="center"/>
              <w:rPr>
                <w:sz w:val="28"/>
                <w:szCs w:val="28"/>
              </w:rPr>
            </w:pPr>
            <w:r w:rsidRPr="00E965F0">
              <w:rPr>
                <w:sz w:val="28"/>
                <w:szCs w:val="28"/>
              </w:rPr>
              <w:lastRenderedPageBreak/>
              <w:t>Tổ chức hoặc công dân</w:t>
            </w:r>
          </w:p>
        </w:tc>
        <w:tc>
          <w:tcPr>
            <w:tcW w:w="1701" w:type="dxa"/>
            <w:vAlign w:val="center"/>
          </w:tcPr>
          <w:p w:rsidR="00813E51" w:rsidRPr="00E965F0" w:rsidRDefault="00813E51" w:rsidP="00A90C44">
            <w:pPr>
              <w:spacing w:before="60" w:after="60"/>
              <w:jc w:val="center"/>
              <w:rPr>
                <w:b/>
                <w:sz w:val="28"/>
                <w:szCs w:val="28"/>
              </w:rPr>
            </w:pPr>
          </w:p>
        </w:tc>
      </w:tr>
      <w:tr w:rsidR="00813E51" w:rsidTr="00A90C44">
        <w:tc>
          <w:tcPr>
            <w:tcW w:w="1418" w:type="dxa"/>
            <w:vMerge w:val="restart"/>
            <w:vAlign w:val="center"/>
          </w:tcPr>
          <w:p w:rsidR="00813E51" w:rsidRPr="00E965F0" w:rsidRDefault="00813E51" w:rsidP="00A90C44">
            <w:pPr>
              <w:spacing w:before="60" w:after="60"/>
              <w:jc w:val="center"/>
              <w:rPr>
                <w:sz w:val="28"/>
                <w:szCs w:val="28"/>
              </w:rPr>
            </w:pPr>
            <w:r w:rsidRPr="00E965F0">
              <w:rPr>
                <w:sz w:val="28"/>
                <w:szCs w:val="28"/>
              </w:rPr>
              <w:lastRenderedPageBreak/>
              <w:t>4. Thời hạn giải quyết</w:t>
            </w:r>
          </w:p>
        </w:tc>
        <w:tc>
          <w:tcPr>
            <w:tcW w:w="6237" w:type="dxa"/>
            <w:vAlign w:val="center"/>
          </w:tcPr>
          <w:p w:rsidR="00813E51" w:rsidRPr="00E965F0" w:rsidRDefault="00813E51"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21</w:t>
            </w:r>
            <w:r w:rsidRPr="00E965F0">
              <w:rPr>
                <w:b/>
                <w:sz w:val="28"/>
                <w:szCs w:val="28"/>
              </w:rPr>
              <w:t xml:space="preserve"> ngày (thời gian giảm </w:t>
            </w:r>
            <w:r>
              <w:rPr>
                <w:b/>
                <w:sz w:val="28"/>
                <w:szCs w:val="28"/>
              </w:rPr>
              <w:t>1</w:t>
            </w:r>
            <w:r w:rsidRPr="00E965F0">
              <w:rPr>
                <w:b/>
                <w:sz w:val="28"/>
                <w:szCs w:val="28"/>
              </w:rPr>
              <w:t xml:space="preserve">0% còn </w:t>
            </w:r>
            <w:r>
              <w:rPr>
                <w:b/>
                <w:sz w:val="28"/>
                <w:szCs w:val="28"/>
              </w:rPr>
              <w:t>18</w:t>
            </w:r>
            <w:r w:rsidRPr="00E965F0">
              <w:rPr>
                <w:b/>
                <w:sz w:val="28"/>
                <w:szCs w:val="28"/>
              </w:rPr>
              <w:t xml:space="preserve"> ngày làm việc) cụ thể như sau:</w:t>
            </w:r>
          </w:p>
        </w:tc>
        <w:tc>
          <w:tcPr>
            <w:tcW w:w="1418" w:type="dxa"/>
            <w:vAlign w:val="center"/>
          </w:tcPr>
          <w:p w:rsidR="00813E51" w:rsidRPr="00E965F0" w:rsidRDefault="00813E51" w:rsidP="00A90C44">
            <w:pPr>
              <w:spacing w:before="60" w:after="60"/>
              <w:jc w:val="center"/>
              <w:rPr>
                <w:sz w:val="28"/>
                <w:szCs w:val="28"/>
              </w:rPr>
            </w:pPr>
          </w:p>
        </w:tc>
        <w:tc>
          <w:tcPr>
            <w:tcW w:w="1701" w:type="dxa"/>
            <w:vAlign w:val="center"/>
          </w:tcPr>
          <w:p w:rsidR="00813E51" w:rsidRPr="00E965F0" w:rsidRDefault="00813E51" w:rsidP="00A90C44">
            <w:pPr>
              <w:spacing w:before="60" w:after="60"/>
              <w:jc w:val="center"/>
              <w:rPr>
                <w:b/>
                <w:sz w:val="28"/>
                <w:szCs w:val="28"/>
              </w:rPr>
            </w:pP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813E51" w:rsidRPr="00E965F0" w:rsidRDefault="00813E51" w:rsidP="00A90C44">
            <w:pPr>
              <w:spacing w:before="60" w:after="60"/>
              <w:jc w:val="center"/>
              <w:rPr>
                <w:sz w:val="28"/>
                <w:szCs w:val="28"/>
              </w:rPr>
            </w:pPr>
            <w:r w:rsidRPr="00E965F0">
              <w:rPr>
                <w:sz w:val="28"/>
                <w:szCs w:val="28"/>
              </w:rPr>
              <w:t>1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Phiếu tiếp nhận</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813E51" w:rsidRPr="00E965F0" w:rsidRDefault="00813E51"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Giao việc</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813E51" w:rsidRPr="00E965F0" w:rsidRDefault="00813E51" w:rsidP="00A90C44">
            <w:pPr>
              <w:spacing w:before="60" w:after="60"/>
              <w:jc w:val="center"/>
              <w:rPr>
                <w:sz w:val="28"/>
                <w:szCs w:val="28"/>
              </w:rPr>
            </w:pPr>
            <w:r>
              <w:rPr>
                <w:sz w:val="28"/>
                <w:szCs w:val="28"/>
              </w:rPr>
              <w:t xml:space="preserve">09 </w:t>
            </w:r>
            <w:r w:rsidRPr="00E965F0">
              <w:rPr>
                <w:sz w:val="28"/>
                <w:szCs w:val="28"/>
              </w:rPr>
              <w:t>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Quyết định, Tờ trình</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813E51" w:rsidRPr="00E965F0" w:rsidRDefault="00813E51" w:rsidP="00A90C44">
            <w:pPr>
              <w:spacing w:before="60" w:after="60"/>
              <w:jc w:val="center"/>
              <w:rPr>
                <w:sz w:val="28"/>
                <w:szCs w:val="28"/>
              </w:rPr>
            </w:pPr>
            <w:r>
              <w:rPr>
                <w:sz w:val="28"/>
                <w:szCs w:val="28"/>
              </w:rPr>
              <w:t>2,5</w:t>
            </w:r>
            <w:r w:rsidRPr="00E965F0">
              <w:rPr>
                <w:sz w:val="28"/>
                <w:szCs w:val="28"/>
              </w:rPr>
              <w:t xml:space="preserve">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Quyết định, Tờ trình</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813E51" w:rsidRPr="00E965F0" w:rsidRDefault="00813E51" w:rsidP="00A90C44">
            <w:pPr>
              <w:spacing w:before="60" w:after="60"/>
              <w:jc w:val="center"/>
              <w:rPr>
                <w:sz w:val="28"/>
                <w:szCs w:val="28"/>
              </w:rPr>
            </w:pPr>
            <w:r>
              <w:rPr>
                <w:sz w:val="28"/>
                <w:szCs w:val="28"/>
              </w:rPr>
              <w:t>2,5</w:t>
            </w:r>
            <w:r w:rsidRPr="00E965F0">
              <w:rPr>
                <w:sz w:val="28"/>
                <w:szCs w:val="28"/>
              </w:rPr>
              <w:t xml:space="preserve">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Quyết định</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813E51" w:rsidRPr="00E965F0" w:rsidRDefault="00813E51" w:rsidP="00A90C44">
            <w:pPr>
              <w:spacing w:before="60" w:after="60"/>
              <w:jc w:val="center"/>
              <w:rPr>
                <w:sz w:val="28"/>
                <w:szCs w:val="28"/>
              </w:rPr>
            </w:pPr>
            <w:r w:rsidRPr="00E965F0">
              <w:rPr>
                <w:sz w:val="28"/>
                <w:szCs w:val="28"/>
              </w:rPr>
              <w:t>1/2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813E51" w:rsidRPr="00E965F0" w:rsidRDefault="00813E51" w:rsidP="00A90C44">
            <w:pPr>
              <w:spacing w:before="60" w:after="60"/>
              <w:jc w:val="center"/>
              <w:rPr>
                <w:sz w:val="28"/>
                <w:szCs w:val="28"/>
              </w:rPr>
            </w:pPr>
            <w:r w:rsidRPr="00E965F0">
              <w:rPr>
                <w:sz w:val="28"/>
                <w:szCs w:val="28"/>
              </w:rPr>
              <w:t>1/2 ngày</w:t>
            </w: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Sổ lưu</w:t>
            </w:r>
          </w:p>
        </w:tc>
      </w:tr>
      <w:tr w:rsidR="00813E51" w:rsidTr="00A90C44">
        <w:tc>
          <w:tcPr>
            <w:tcW w:w="1418" w:type="dxa"/>
            <w:vMerge/>
            <w:vAlign w:val="center"/>
          </w:tcPr>
          <w:p w:rsidR="00813E51" w:rsidRPr="00E965F0" w:rsidRDefault="00813E51" w:rsidP="00A90C44">
            <w:pPr>
              <w:spacing w:before="60" w:after="60"/>
              <w:jc w:val="center"/>
              <w:rPr>
                <w:sz w:val="28"/>
                <w:szCs w:val="28"/>
              </w:rPr>
            </w:pPr>
          </w:p>
        </w:tc>
        <w:tc>
          <w:tcPr>
            <w:tcW w:w="6237" w:type="dxa"/>
            <w:vAlign w:val="center"/>
          </w:tcPr>
          <w:p w:rsidR="00813E51" w:rsidRPr="00E965F0" w:rsidRDefault="00813E51"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813E51" w:rsidRPr="00E965F0" w:rsidRDefault="00813E51" w:rsidP="00A90C44">
            <w:pPr>
              <w:spacing w:before="60" w:after="60"/>
              <w:jc w:val="center"/>
              <w:rPr>
                <w:sz w:val="28"/>
                <w:szCs w:val="28"/>
              </w:rPr>
            </w:pPr>
          </w:p>
        </w:tc>
        <w:tc>
          <w:tcPr>
            <w:tcW w:w="1701" w:type="dxa"/>
            <w:vAlign w:val="center"/>
          </w:tcPr>
          <w:p w:rsidR="00813E51" w:rsidRPr="00E965F0" w:rsidRDefault="00813E51" w:rsidP="00A90C44">
            <w:pPr>
              <w:spacing w:before="60" w:after="60"/>
              <w:jc w:val="center"/>
              <w:rPr>
                <w:sz w:val="28"/>
                <w:szCs w:val="28"/>
              </w:rPr>
            </w:pPr>
            <w:r w:rsidRPr="00E965F0">
              <w:rPr>
                <w:sz w:val="28"/>
                <w:szCs w:val="28"/>
              </w:rPr>
              <w:t xml:space="preserve">Phiếu thu lệ phí </w:t>
            </w:r>
          </w:p>
          <w:p w:rsidR="00813E51" w:rsidRPr="00E965F0" w:rsidRDefault="00813E51" w:rsidP="00A90C44">
            <w:pPr>
              <w:spacing w:before="60" w:after="60"/>
              <w:jc w:val="center"/>
              <w:rPr>
                <w:sz w:val="28"/>
                <w:szCs w:val="28"/>
              </w:rPr>
            </w:pPr>
            <w:r w:rsidRPr="00E965F0">
              <w:rPr>
                <w:sz w:val="28"/>
                <w:szCs w:val="28"/>
              </w:rPr>
              <w:t>(nếu có)</w:t>
            </w:r>
          </w:p>
        </w:tc>
      </w:tr>
    </w:tbl>
    <w:p w:rsidR="0023567E" w:rsidRDefault="0023567E"/>
    <w:sectPr w:rsidR="0023567E" w:rsidSect="00813E51">
      <w:pgSz w:w="12240" w:h="15840"/>
      <w:pgMar w:top="851" w:right="244" w:bottom="132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51"/>
    <w:rsid w:val="0023567E"/>
    <w:rsid w:val="0081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D483E-98DA-42E5-AA0D-0D8CB2BF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DB2FC0-8CF8-4D56-959A-1DB047C3811F}"/>
</file>

<file path=customXml/itemProps2.xml><?xml version="1.0" encoding="utf-8"?>
<ds:datastoreItem xmlns:ds="http://schemas.openxmlformats.org/officeDocument/2006/customXml" ds:itemID="{6BE8E58B-1435-45E4-8A07-A19B4EF5850F}"/>
</file>

<file path=customXml/itemProps3.xml><?xml version="1.0" encoding="utf-8"?>
<ds:datastoreItem xmlns:ds="http://schemas.openxmlformats.org/officeDocument/2006/customXml" ds:itemID="{DAC02A2C-FF80-4B7B-BF24-F672E098FDA1}"/>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1</cp:revision>
  <dcterms:created xsi:type="dcterms:W3CDTF">2022-10-14T01:04:00Z</dcterms:created>
  <dcterms:modified xsi:type="dcterms:W3CDTF">2022-10-14T01:05:00Z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